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D573F5" w:rsidRDefault="003154A2" w:rsidP="00ED2C56">
      <w:pPr>
        <w:spacing w:before="120" w:after="120" w:line="360" w:lineRule="auto"/>
        <w:jc w:val="center"/>
        <w:rPr>
          <w:rFonts w:ascii="Arial" w:hAnsi="Arial" w:cs="Arial"/>
          <w:sz w:val="28"/>
          <w:szCs w:val="28"/>
        </w:rPr>
      </w:pPr>
      <w:r w:rsidRPr="00D573F5">
        <w:rPr>
          <w:rFonts w:ascii="Arial" w:hAnsi="Arial" w:cs="Arial"/>
          <w:b/>
          <w:sz w:val="28"/>
          <w:szCs w:val="28"/>
        </w:rPr>
        <w:t xml:space="preserve">PROGRAMA </w:t>
      </w:r>
      <w:r w:rsidR="00382521" w:rsidRPr="00D573F5">
        <w:rPr>
          <w:rFonts w:ascii="Arial" w:hAnsi="Arial" w:cs="Arial"/>
          <w:b/>
          <w:sz w:val="28"/>
          <w:szCs w:val="28"/>
        </w:rPr>
        <w:t>45EA</w:t>
      </w:r>
    </w:p>
    <w:p w:rsidR="003154A2" w:rsidRPr="00D573F5" w:rsidRDefault="007A1EBE" w:rsidP="005D13DD">
      <w:pPr>
        <w:spacing w:before="120" w:after="120" w:line="360" w:lineRule="auto"/>
        <w:jc w:val="center"/>
        <w:rPr>
          <w:rFonts w:ascii="Arial" w:hAnsi="Arial" w:cs="Arial"/>
          <w:b/>
          <w:sz w:val="26"/>
          <w:szCs w:val="26"/>
        </w:rPr>
      </w:pPr>
      <w:r w:rsidRPr="00D573F5">
        <w:rPr>
          <w:rFonts w:ascii="Arial" w:hAnsi="Arial" w:cs="Arial"/>
          <w:b/>
          <w:sz w:val="26"/>
          <w:szCs w:val="26"/>
        </w:rPr>
        <w:t>C</w:t>
      </w:r>
      <w:r w:rsidR="005B12BB" w:rsidRPr="00D573F5">
        <w:rPr>
          <w:rFonts w:ascii="Arial" w:hAnsi="Arial" w:cs="Arial"/>
          <w:b/>
          <w:sz w:val="26"/>
          <w:szCs w:val="26"/>
        </w:rPr>
        <w:t>0</w:t>
      </w:r>
      <w:r w:rsidR="00382521" w:rsidRPr="00D573F5">
        <w:rPr>
          <w:rFonts w:ascii="Arial" w:hAnsi="Arial" w:cs="Arial"/>
          <w:b/>
          <w:sz w:val="26"/>
          <w:szCs w:val="26"/>
        </w:rPr>
        <w:t>5</w:t>
      </w:r>
      <w:r w:rsidR="005B12BB" w:rsidRPr="00D573F5">
        <w:rPr>
          <w:rFonts w:ascii="Arial" w:hAnsi="Arial" w:cs="Arial"/>
          <w:b/>
          <w:sz w:val="26"/>
          <w:szCs w:val="26"/>
        </w:rPr>
        <w:t>.</w:t>
      </w:r>
      <w:r w:rsidRPr="00D573F5">
        <w:rPr>
          <w:rFonts w:ascii="Arial" w:hAnsi="Arial" w:cs="Arial"/>
          <w:b/>
          <w:sz w:val="26"/>
          <w:szCs w:val="26"/>
        </w:rPr>
        <w:t>I</w:t>
      </w:r>
      <w:r w:rsidR="005B12BB" w:rsidRPr="00D573F5">
        <w:rPr>
          <w:rFonts w:ascii="Arial" w:hAnsi="Arial" w:cs="Arial"/>
          <w:b/>
          <w:sz w:val="26"/>
          <w:szCs w:val="26"/>
        </w:rPr>
        <w:t>0</w:t>
      </w:r>
      <w:r w:rsidRPr="00D573F5">
        <w:rPr>
          <w:rFonts w:ascii="Arial" w:hAnsi="Arial" w:cs="Arial"/>
          <w:b/>
          <w:sz w:val="26"/>
          <w:szCs w:val="26"/>
        </w:rPr>
        <w:t>1 MATERIALIZACIÓN DE ACTUACIONES DE DEPURACIÓN, SANEAMIENTO, EFICIENCIA, AHORRO, REUTILIZACIÓN Y SEGURIDAD DE INFRAESTRUCTURAS (DSEAR)</w:t>
      </w:r>
    </w:p>
    <w:p w:rsidR="00517824" w:rsidRPr="00517824" w:rsidRDefault="00517824" w:rsidP="00ED2C56">
      <w:pPr>
        <w:spacing w:before="120" w:after="120" w:line="360" w:lineRule="auto"/>
        <w:rPr>
          <w:rFonts w:ascii="Arial" w:hAnsi="Arial" w:cs="Arial"/>
          <w:b/>
          <w:sz w:val="22"/>
          <w:szCs w:val="22"/>
        </w:rPr>
      </w:pPr>
      <w:r w:rsidRPr="00517824">
        <w:rPr>
          <w:rFonts w:ascii="Arial" w:hAnsi="Arial" w:cs="Arial"/>
          <w:b/>
          <w:sz w:val="22"/>
          <w:szCs w:val="22"/>
        </w:rPr>
        <w:t xml:space="preserve">1. </w:t>
      </w:r>
      <w:r w:rsidR="00D573F5">
        <w:rPr>
          <w:rFonts w:ascii="Arial" w:hAnsi="Arial" w:cs="Arial"/>
          <w:b/>
          <w:sz w:val="22"/>
          <w:szCs w:val="22"/>
        </w:rPr>
        <w:t>DENOMINACIÓN DEL COMPONENTE</w:t>
      </w:r>
    </w:p>
    <w:p w:rsidR="00517824" w:rsidRPr="00517824" w:rsidRDefault="00382521" w:rsidP="00ED2C56">
      <w:pPr>
        <w:spacing w:before="120" w:after="120" w:line="360" w:lineRule="auto"/>
        <w:ind w:firstLine="708"/>
        <w:jc w:val="both"/>
        <w:rPr>
          <w:rFonts w:ascii="Arial" w:hAnsi="Arial" w:cs="Arial"/>
          <w:sz w:val="22"/>
          <w:szCs w:val="22"/>
        </w:rPr>
      </w:pPr>
      <w:r w:rsidRPr="00382521">
        <w:rPr>
          <w:rFonts w:ascii="Arial" w:hAnsi="Arial" w:cs="Arial"/>
          <w:sz w:val="22"/>
          <w:szCs w:val="22"/>
        </w:rPr>
        <w:t>Preservación del litoral y recursos hídricos</w:t>
      </w:r>
      <w:r w:rsidR="00772ED6">
        <w:rPr>
          <w:rFonts w:ascii="Arial" w:hAnsi="Arial" w:cs="Arial"/>
          <w:sz w:val="22"/>
          <w:szCs w:val="22"/>
        </w:rPr>
        <w:t>.</w:t>
      </w:r>
    </w:p>
    <w:p w:rsidR="007A1EBE" w:rsidRDefault="00517824" w:rsidP="00ED2C56">
      <w:pPr>
        <w:spacing w:before="120" w:after="120" w:line="360" w:lineRule="auto"/>
        <w:rPr>
          <w:rFonts w:ascii="Arial" w:hAnsi="Arial" w:cs="Arial"/>
          <w:b/>
          <w:sz w:val="22"/>
          <w:szCs w:val="22"/>
        </w:rPr>
      </w:pPr>
      <w:r w:rsidRPr="00517824">
        <w:rPr>
          <w:rFonts w:ascii="Arial" w:hAnsi="Arial" w:cs="Arial"/>
          <w:b/>
          <w:sz w:val="22"/>
          <w:szCs w:val="22"/>
        </w:rPr>
        <w:t xml:space="preserve">2. </w:t>
      </w:r>
      <w:r w:rsidR="007A1EBE" w:rsidRPr="00517824">
        <w:rPr>
          <w:rFonts w:ascii="Arial" w:hAnsi="Arial" w:cs="Arial"/>
          <w:b/>
          <w:sz w:val="22"/>
          <w:szCs w:val="22"/>
        </w:rPr>
        <w:t>DESCRIPCIÓN GENERAL DEL COMPONENTE</w:t>
      </w:r>
    </w:p>
    <w:p w:rsidR="00517824" w:rsidRDefault="00382521" w:rsidP="00ED2C56">
      <w:pPr>
        <w:spacing w:before="120" w:after="120" w:line="360" w:lineRule="auto"/>
        <w:ind w:firstLine="708"/>
        <w:jc w:val="both"/>
        <w:rPr>
          <w:rFonts w:ascii="Arial" w:hAnsi="Arial" w:cs="Arial"/>
          <w:sz w:val="22"/>
          <w:szCs w:val="22"/>
        </w:rPr>
      </w:pPr>
      <w:r w:rsidRPr="00382521">
        <w:rPr>
          <w:rFonts w:ascii="Arial" w:hAnsi="Arial" w:cs="Arial"/>
          <w:sz w:val="22"/>
          <w:szCs w:val="22"/>
        </w:rPr>
        <w:t xml:space="preserve">El componente 5 del PRTR pretende </w:t>
      </w:r>
      <w:r w:rsidRPr="005B12BB">
        <w:rPr>
          <w:rFonts w:ascii="Arial" w:hAnsi="Arial" w:cs="Arial"/>
          <w:sz w:val="22"/>
          <w:szCs w:val="22"/>
        </w:rPr>
        <w:t>por un lado, la preservación del litoral mediante la implantación de la política de adaptación de la costa a los efectos del cambio climático, la Implementación de las Estrategias Marinas, y la aprobación y puesta en marcha de los Planes de Ordenación del Espacio Marítimo, y por otro lado, la adecuada gestión de los recursos hídricos mediante la potenciación de la política del agua para desarrollar las líneas estratégicas establecidas por el MITECO en tres ámbitos: el de la planificación hidrológica para organizar todas las actividades; el normativo para introducir las reformas precisas para desarrollar la nueva política del agua; y por último, el de las inversiones para materializar en el territorio la política desplegada. Además, y como elemento soporte a las políticas de agua,</w:t>
      </w:r>
      <w:r w:rsidRPr="00382521">
        <w:rPr>
          <w:rFonts w:ascii="Arial" w:hAnsi="Arial" w:cs="Arial"/>
          <w:sz w:val="22"/>
          <w:szCs w:val="22"/>
        </w:rPr>
        <w:t xml:space="preserve"> se pretende la digitalización y mejora en los procesos de observación y predicción meteorológica para la mejora de las proyecciones climáticas y para el seguimiento del cambio climático (detección de tendencias e identificación de impactos).</w:t>
      </w:r>
    </w:p>
    <w:p w:rsidR="007A1EBE" w:rsidRDefault="00517824" w:rsidP="00ED2C56">
      <w:pPr>
        <w:spacing w:before="120" w:after="120" w:line="360" w:lineRule="auto"/>
        <w:rPr>
          <w:rFonts w:ascii="Arial" w:hAnsi="Arial" w:cs="Arial"/>
          <w:b/>
          <w:sz w:val="22"/>
          <w:szCs w:val="22"/>
        </w:rPr>
      </w:pPr>
      <w:r w:rsidRPr="00517824">
        <w:rPr>
          <w:rFonts w:ascii="Arial" w:hAnsi="Arial" w:cs="Arial"/>
          <w:b/>
          <w:sz w:val="22"/>
          <w:szCs w:val="22"/>
        </w:rPr>
        <w:t xml:space="preserve">3. </w:t>
      </w:r>
      <w:r w:rsidR="007A1EBE" w:rsidRPr="00517824">
        <w:rPr>
          <w:rFonts w:ascii="Arial" w:hAnsi="Arial" w:cs="Arial"/>
          <w:b/>
          <w:sz w:val="22"/>
          <w:szCs w:val="22"/>
        </w:rPr>
        <w:t>PRINCIPALES OBJETIVOS DEL COMPONENTE</w:t>
      </w:r>
    </w:p>
    <w:p w:rsidR="00382521" w:rsidRPr="00382521" w:rsidRDefault="00382521" w:rsidP="00ED2C56">
      <w:pPr>
        <w:spacing w:before="120" w:after="120" w:line="360" w:lineRule="auto"/>
        <w:ind w:firstLine="708"/>
        <w:jc w:val="both"/>
        <w:rPr>
          <w:rFonts w:ascii="Arial" w:hAnsi="Arial" w:cs="Arial"/>
          <w:sz w:val="22"/>
          <w:szCs w:val="22"/>
        </w:rPr>
      </w:pPr>
      <w:r w:rsidRPr="00382521">
        <w:rPr>
          <w:rFonts w:ascii="Arial" w:hAnsi="Arial" w:cs="Arial"/>
          <w:sz w:val="22"/>
          <w:szCs w:val="22"/>
        </w:rPr>
        <w:t>Dentro de la gestión de recursos hídricos, los objetivos fijados en el PRTR que afectan a la inversión del programa son:</w:t>
      </w:r>
    </w:p>
    <w:p w:rsidR="00382521" w:rsidRPr="00314413" w:rsidRDefault="00382521" w:rsidP="00D573F5">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14413">
        <w:rPr>
          <w:rFonts w:ascii="Arial" w:hAnsi="Arial" w:cs="Arial"/>
          <w:sz w:val="22"/>
          <w:szCs w:val="22"/>
        </w:rPr>
        <w:t>Seguridad de las infraestructuras (presas): normativa técnica de seguridad de presas, embalses y balsas, junto a estrategia de priorización de inversiones en función del riesgo potencial que permita optimizar la aplicación de los fondos, consiguiendo el mayor grado de seguridad.</w:t>
      </w:r>
    </w:p>
    <w:p w:rsidR="00382521" w:rsidRPr="00382521" w:rsidRDefault="00382521" w:rsidP="00D573F5">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14413">
        <w:rPr>
          <w:rFonts w:ascii="Arial" w:hAnsi="Arial" w:cs="Arial"/>
          <w:sz w:val="22"/>
          <w:szCs w:val="22"/>
        </w:rPr>
        <w:t>Mejora de la gestión del agua y el tratamiento de las aguas residuales: completar las infraestructuras pendientes, así como reponer y renovar las ya existentes que</w:t>
      </w:r>
      <w:r w:rsidRPr="00382521">
        <w:rPr>
          <w:rFonts w:ascii="Arial" w:hAnsi="Arial" w:cs="Arial"/>
          <w:sz w:val="22"/>
          <w:szCs w:val="22"/>
        </w:rPr>
        <w:t xml:space="preserve"> sean necesarias para la total conformidad con la Directiva 91/271/CEE; integrar las aguas residuales regeneradas como recurso; y reducir las pérdidas y mejorar los sistemas de abastecimiento y distribución de agua.</w:t>
      </w:r>
    </w:p>
    <w:p w:rsidR="00517824" w:rsidRPr="00382521" w:rsidRDefault="00382521" w:rsidP="00D573F5">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14413">
        <w:rPr>
          <w:rFonts w:ascii="Arial" w:hAnsi="Arial" w:cs="Arial"/>
          <w:sz w:val="22"/>
          <w:szCs w:val="22"/>
        </w:rPr>
        <w:lastRenderedPageBreak/>
        <w:t>Promoción de la economía circular: incremento</w:t>
      </w:r>
      <w:r w:rsidRPr="00382521">
        <w:rPr>
          <w:rFonts w:ascii="Arial" w:hAnsi="Arial" w:cs="Arial"/>
          <w:sz w:val="22"/>
          <w:szCs w:val="22"/>
        </w:rPr>
        <w:t xml:space="preserve"> de la reutilización de aguas residuales en aquellas regiones que mayor estrés hídrico.</w:t>
      </w:r>
    </w:p>
    <w:p w:rsidR="007A1EBE" w:rsidRDefault="00517824" w:rsidP="00ED2C56">
      <w:pPr>
        <w:spacing w:before="120" w:after="120" w:line="360" w:lineRule="auto"/>
        <w:rPr>
          <w:rFonts w:ascii="Arial" w:hAnsi="Arial" w:cs="Arial"/>
          <w:b/>
          <w:sz w:val="22"/>
          <w:szCs w:val="22"/>
        </w:rPr>
      </w:pPr>
      <w:r w:rsidRPr="00517824">
        <w:rPr>
          <w:rFonts w:ascii="Arial" w:hAnsi="Arial" w:cs="Arial"/>
          <w:b/>
          <w:sz w:val="22"/>
          <w:szCs w:val="22"/>
        </w:rPr>
        <w:t xml:space="preserve">4. </w:t>
      </w:r>
      <w:r w:rsidR="007A1EBE" w:rsidRPr="00517824">
        <w:rPr>
          <w:rFonts w:ascii="Arial" w:hAnsi="Arial" w:cs="Arial"/>
          <w:b/>
          <w:sz w:val="22"/>
          <w:szCs w:val="22"/>
        </w:rPr>
        <w:t>DESCRIPCIÓN DE LA INVERSIÓN</w:t>
      </w:r>
    </w:p>
    <w:p w:rsidR="00382521" w:rsidRPr="00382521" w:rsidRDefault="00382521" w:rsidP="00ED2C56">
      <w:pPr>
        <w:spacing w:before="120" w:after="120" w:line="360" w:lineRule="auto"/>
        <w:ind w:firstLine="708"/>
        <w:jc w:val="both"/>
        <w:rPr>
          <w:rFonts w:ascii="Arial" w:hAnsi="Arial" w:cs="Arial"/>
          <w:sz w:val="22"/>
          <w:szCs w:val="22"/>
        </w:rPr>
      </w:pPr>
      <w:r w:rsidRPr="00382521">
        <w:rPr>
          <w:rFonts w:ascii="Arial" w:hAnsi="Arial" w:cs="Arial"/>
          <w:sz w:val="22"/>
          <w:szCs w:val="22"/>
        </w:rPr>
        <w:t>Esta inversión engloba a tres tipologías de actuaciones diferenciadas:</w:t>
      </w:r>
    </w:p>
    <w:p w:rsidR="00382521" w:rsidRDefault="00382521" w:rsidP="00D573F5">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314413">
        <w:rPr>
          <w:rFonts w:ascii="Arial" w:hAnsi="Arial" w:cs="Arial"/>
          <w:sz w:val="22"/>
          <w:szCs w:val="22"/>
        </w:rPr>
        <w:t>Materialización de actuaciones de depuración, saneamiento y reutilización: son actuaciones concretas dirigidas a la mejora de la recogida y el tratamiento</w:t>
      </w:r>
      <w:r w:rsidRPr="00382521">
        <w:rPr>
          <w:rFonts w:ascii="Arial" w:hAnsi="Arial" w:cs="Arial"/>
          <w:sz w:val="22"/>
          <w:szCs w:val="22"/>
        </w:rPr>
        <w:t xml:space="preserve"> de las aguas residuales urbanas, y en determinados casos la reutilización de las aguas regeneradas, reduciendo con ello las actuales presiones por extracción que registran determinadas zonas de España. Estas actuaciones proporcionan una urgente respuesta a las obligaciones de la normativa comunitaria por tratarse de casos incursos en procedimientos de infracción de la UE o que incumplen la Directiva 91/271/CEE, sin que aún exista procedimiento de infracción.</w:t>
      </w:r>
    </w:p>
    <w:p w:rsidR="00382521" w:rsidRPr="00382521" w:rsidRDefault="00382521" w:rsidP="00D573F5">
      <w:pPr>
        <w:pStyle w:val="Prrafodelista"/>
        <w:spacing w:before="120" w:after="120" w:line="360" w:lineRule="auto"/>
        <w:ind w:left="709"/>
        <w:contextualSpacing w:val="0"/>
        <w:jc w:val="both"/>
        <w:rPr>
          <w:rFonts w:ascii="Arial" w:hAnsi="Arial" w:cs="Arial"/>
          <w:sz w:val="22"/>
          <w:szCs w:val="22"/>
        </w:rPr>
      </w:pPr>
      <w:r w:rsidRPr="00382521">
        <w:rPr>
          <w:rFonts w:ascii="Arial" w:hAnsi="Arial" w:cs="Arial"/>
          <w:sz w:val="22"/>
          <w:szCs w:val="22"/>
        </w:rPr>
        <w:t>Además, se habilitan fondos del PRTR, para que las CC.AA. puedan llevar a cabo inversiones en saneamiento y depuración en pequeñas aglomeraciones urbanas, que no cumplan con los requisitos establecidos en la Directiva 91/271/CEE sobre tratamiento aguas residuales urbanas</w:t>
      </w:r>
      <w:r>
        <w:rPr>
          <w:rFonts w:ascii="Arial" w:hAnsi="Arial" w:cs="Arial"/>
          <w:sz w:val="22"/>
          <w:szCs w:val="22"/>
        </w:rPr>
        <w:t xml:space="preserve">, </w:t>
      </w:r>
      <w:r w:rsidRPr="00382521">
        <w:rPr>
          <w:rFonts w:ascii="Arial" w:hAnsi="Arial" w:cs="Arial"/>
          <w:sz w:val="22"/>
          <w:szCs w:val="22"/>
        </w:rPr>
        <w:t>por tanto, que se encuentren en procedimientos de infracción o no conformes con la Directiva, sin tratamiento o con tratamiento deficiente del agua residual, y que no estén declaradas de interés general del Estado.</w:t>
      </w:r>
    </w:p>
    <w:p w:rsidR="00517824" w:rsidRDefault="00382521" w:rsidP="00D573F5">
      <w:pPr>
        <w:pStyle w:val="Prrafodelista"/>
        <w:spacing w:before="120" w:after="120" w:line="360" w:lineRule="auto"/>
        <w:ind w:left="709"/>
        <w:contextualSpacing w:val="0"/>
        <w:jc w:val="both"/>
        <w:rPr>
          <w:rFonts w:ascii="Arial" w:hAnsi="Arial" w:cs="Arial"/>
          <w:sz w:val="22"/>
          <w:szCs w:val="22"/>
        </w:rPr>
      </w:pPr>
      <w:r w:rsidRPr="00382521">
        <w:rPr>
          <w:rFonts w:ascii="Arial" w:hAnsi="Arial" w:cs="Arial"/>
          <w:sz w:val="22"/>
          <w:szCs w:val="22"/>
        </w:rPr>
        <w:t>Por último, se llevará a cabo un plan de reutilización de aguas para corregir desequilibrios hídricos, que permita a aquellas administraciones públicas con competencia en el ciclo del agua, la incorporación de aguas reutilizadas en el sistema mediante la ejecución de las infraestructuras necesarias. Serán inversiones en actuaciones no declaradas de interés general y que deben complementar a las que va a ejecutar el Estado dentro del PRTR.</w:t>
      </w:r>
    </w:p>
    <w:p w:rsidR="00382521" w:rsidRDefault="00382521" w:rsidP="00D573F5">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314413">
        <w:rPr>
          <w:rFonts w:ascii="Arial" w:hAnsi="Arial" w:cs="Arial"/>
          <w:sz w:val="22"/>
          <w:szCs w:val="22"/>
        </w:rPr>
        <w:t>Actuaciones para la mejora de la eficiencia y reducción de pérdidas en el uso del agua:</w:t>
      </w:r>
      <w:r w:rsidRPr="00382521">
        <w:rPr>
          <w:rFonts w:ascii="Arial" w:hAnsi="Arial" w:cs="Arial"/>
          <w:sz w:val="22"/>
          <w:szCs w:val="22"/>
        </w:rPr>
        <w:t xml:space="preserve"> En 2021 se ha llevado a cabo un plan de ayudas para la mejora de la eficiencia en las redes de abastecimiento de medianos y pequeños municipios, que permita a los municipios u organismos públicos con competencias asumidas en abastecimiento, la mejora del suministro mediante la reducción de pérdidas en redes de distribución y actuaciones de reparación y mejora en depósitos e instalaciones de potabilización, en donde el coste de estas actuaciones imposibilita la ejecución real de las mismas por su titular, y cuyo efecto se traduce en ahorro de agua y energía.</w:t>
      </w:r>
    </w:p>
    <w:p w:rsidR="00382521" w:rsidRDefault="00382521" w:rsidP="00D573F5">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314413">
        <w:rPr>
          <w:rFonts w:ascii="Arial" w:hAnsi="Arial" w:cs="Arial"/>
          <w:sz w:val="22"/>
          <w:szCs w:val="22"/>
        </w:rPr>
        <w:lastRenderedPageBreak/>
        <w:t>Inversiones para la mejora de la seguridad de presas y embalses: Se</w:t>
      </w:r>
      <w:r w:rsidRPr="00382521">
        <w:rPr>
          <w:rFonts w:ascii="Arial" w:hAnsi="Arial" w:cs="Arial"/>
          <w:sz w:val="22"/>
          <w:szCs w:val="22"/>
        </w:rPr>
        <w:t xml:space="preserve"> trata de medidas dirigidas a garantizar la seguridad de las grandes presas de titularidad estatal mediante la implantación de los correspondientes planes de emergencia y otras acciones complementarias de seguridad en estas infraestructuras.</w:t>
      </w:r>
    </w:p>
    <w:p w:rsidR="00517824" w:rsidRDefault="00517824" w:rsidP="00ED2C56">
      <w:pPr>
        <w:spacing w:before="120" w:after="120" w:line="360" w:lineRule="auto"/>
        <w:rPr>
          <w:rFonts w:ascii="Arial" w:hAnsi="Arial" w:cs="Arial"/>
          <w:b/>
          <w:sz w:val="22"/>
          <w:szCs w:val="22"/>
        </w:rPr>
      </w:pPr>
      <w:r w:rsidRPr="00517824">
        <w:rPr>
          <w:rFonts w:ascii="Arial" w:hAnsi="Arial" w:cs="Arial"/>
          <w:b/>
          <w:sz w:val="22"/>
          <w:szCs w:val="22"/>
        </w:rPr>
        <w:t xml:space="preserve">5. </w:t>
      </w:r>
      <w:r w:rsidR="007A1EBE" w:rsidRPr="00517824">
        <w:rPr>
          <w:rFonts w:ascii="Arial" w:hAnsi="Arial" w:cs="Arial"/>
          <w:b/>
          <w:sz w:val="22"/>
          <w:szCs w:val="22"/>
        </w:rPr>
        <w:t>COSTE DE LA INVERSIÓN Y DISTRIBUCIÓN ANUALIZADA</w:t>
      </w:r>
    </w:p>
    <w:p w:rsidR="00ED2C56" w:rsidRPr="00ED2C56" w:rsidRDefault="00827AFD" w:rsidP="00ED2C56">
      <w:pPr>
        <w:spacing w:before="120"/>
        <w:jc w:val="right"/>
        <w:rPr>
          <w:rFonts w:ascii="Arial" w:hAnsi="Arial" w:cs="Arial"/>
          <w:sz w:val="18"/>
          <w:szCs w:val="18"/>
        </w:rPr>
      </w:pPr>
      <w:r>
        <w:rPr>
          <w:rFonts w:ascii="Arial" w:hAnsi="Arial" w:cs="Arial"/>
          <w:sz w:val="18"/>
          <w:szCs w:val="18"/>
        </w:rPr>
        <w:t>(M</w:t>
      </w:r>
      <w:bookmarkStart w:id="0" w:name="_GoBack"/>
      <w:bookmarkEnd w:id="0"/>
      <w:r w:rsidR="00ED2C56" w:rsidRPr="00ED2C56">
        <w:rPr>
          <w:rFonts w:ascii="Arial" w:hAnsi="Arial" w:cs="Arial"/>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ED2C56" w:rsidTr="005D13DD">
        <w:trPr>
          <w:trHeight w:val="337"/>
          <w:tblHeader/>
          <w:jc w:val="center"/>
        </w:trPr>
        <w:tc>
          <w:tcPr>
            <w:tcW w:w="2112" w:type="dxa"/>
            <w:vAlign w:val="center"/>
            <w:hideMark/>
          </w:tcPr>
          <w:p w:rsidR="00ED2C56" w:rsidRDefault="00ED2C56" w:rsidP="00B25F64">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rsidR="00ED2C56" w:rsidRDefault="00ED2C56" w:rsidP="00B25F64">
            <w:pPr>
              <w:spacing w:before="120" w:after="120"/>
              <w:ind w:left="-83"/>
              <w:jc w:val="center"/>
              <w:rPr>
                <w:rFonts w:ascii="Arial" w:hAnsi="Arial" w:cs="Arial"/>
                <w:b/>
                <w:sz w:val="18"/>
                <w:szCs w:val="18"/>
              </w:rPr>
            </w:pPr>
            <w:r>
              <w:rPr>
                <w:rFonts w:ascii="Arial" w:hAnsi="Arial" w:cs="Arial"/>
                <w:b/>
                <w:sz w:val="18"/>
                <w:szCs w:val="18"/>
              </w:rPr>
              <w:t>Total</w:t>
            </w:r>
          </w:p>
        </w:tc>
      </w:tr>
      <w:tr w:rsidR="00ED2C56" w:rsidTr="005D13DD">
        <w:trPr>
          <w:trHeight w:hRule="exact" w:val="342"/>
          <w:jc w:val="center"/>
        </w:trPr>
        <w:tc>
          <w:tcPr>
            <w:tcW w:w="2112" w:type="dxa"/>
            <w:vAlign w:val="center"/>
            <w:hideMark/>
          </w:tcPr>
          <w:p w:rsidR="00ED2C56" w:rsidRDefault="00ED2C56" w:rsidP="00B25F64">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rsidR="00ED2C56" w:rsidRPr="00ED2C56" w:rsidRDefault="00ED2C56" w:rsidP="00B25F64">
            <w:pPr>
              <w:spacing w:before="60" w:after="60"/>
              <w:ind w:left="-83"/>
              <w:jc w:val="right"/>
              <w:rPr>
                <w:rFonts w:ascii="Arial" w:hAnsi="Arial" w:cs="Arial"/>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200.000</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255.000</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187.000</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642.000</w:t>
            </w:r>
          </w:p>
        </w:tc>
      </w:tr>
      <w:tr w:rsidR="00ED2C56" w:rsidTr="005D13DD">
        <w:trPr>
          <w:trHeight w:hRule="exact" w:val="340"/>
          <w:jc w:val="center"/>
        </w:trPr>
        <w:tc>
          <w:tcPr>
            <w:tcW w:w="2112" w:type="dxa"/>
            <w:vAlign w:val="center"/>
            <w:hideMark/>
          </w:tcPr>
          <w:p w:rsidR="00ED2C56" w:rsidRDefault="00ED2C56" w:rsidP="00B25F64">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r>
      <w:tr w:rsidR="00ED2C56" w:rsidTr="005D13DD">
        <w:trPr>
          <w:trHeight w:hRule="exact" w:val="340"/>
          <w:jc w:val="center"/>
        </w:trPr>
        <w:tc>
          <w:tcPr>
            <w:tcW w:w="2112" w:type="dxa"/>
            <w:vAlign w:val="center"/>
            <w:hideMark/>
          </w:tcPr>
          <w:p w:rsidR="00ED2C56" w:rsidRDefault="00ED2C56" w:rsidP="00B25F64">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200.000</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255.000</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187.000</w:t>
            </w: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p>
        </w:tc>
        <w:tc>
          <w:tcPr>
            <w:tcW w:w="851" w:type="dxa"/>
            <w:vAlign w:val="center"/>
          </w:tcPr>
          <w:p w:rsidR="00ED2C56" w:rsidRPr="00ED2C56" w:rsidRDefault="00ED2C56" w:rsidP="00B25F64">
            <w:pPr>
              <w:spacing w:before="60" w:after="60"/>
              <w:ind w:left="-83"/>
              <w:jc w:val="right"/>
              <w:rPr>
                <w:rFonts w:ascii="Arial" w:hAnsi="Arial" w:cs="Arial"/>
                <w:noProof/>
                <w:sz w:val="18"/>
                <w:szCs w:val="18"/>
              </w:rPr>
            </w:pPr>
            <w:r>
              <w:rPr>
                <w:rFonts w:ascii="Arial" w:hAnsi="Arial" w:cs="Arial"/>
                <w:noProof/>
                <w:sz w:val="18"/>
                <w:szCs w:val="18"/>
              </w:rPr>
              <w:t>642.000</w:t>
            </w:r>
          </w:p>
        </w:tc>
      </w:tr>
    </w:tbl>
    <w:p w:rsidR="00517824" w:rsidRDefault="00517824" w:rsidP="00ED2C56">
      <w:pPr>
        <w:spacing w:before="240" w:after="120" w:line="360" w:lineRule="auto"/>
        <w:rPr>
          <w:rFonts w:ascii="Arial" w:hAnsi="Arial" w:cs="Arial"/>
          <w:b/>
          <w:sz w:val="22"/>
          <w:szCs w:val="22"/>
        </w:rPr>
      </w:pPr>
      <w:r w:rsidRPr="00517824">
        <w:rPr>
          <w:rFonts w:ascii="Arial" w:hAnsi="Arial" w:cs="Arial"/>
          <w:b/>
          <w:sz w:val="22"/>
          <w:szCs w:val="22"/>
        </w:rPr>
        <w:t xml:space="preserve">6. </w:t>
      </w:r>
      <w:r w:rsidR="007A1EBE" w:rsidRPr="00517824">
        <w:rPr>
          <w:rFonts w:ascii="Arial" w:hAnsi="Arial" w:cs="Arial"/>
          <w:b/>
          <w:sz w:val="22"/>
          <w:szCs w:val="22"/>
        </w:rPr>
        <w:t>HI</w:t>
      </w:r>
      <w:r w:rsidR="00ED2C56">
        <w:rPr>
          <w:rFonts w:ascii="Arial" w:hAnsi="Arial" w:cs="Arial"/>
          <w:b/>
          <w:sz w:val="22"/>
          <w:szCs w:val="22"/>
        </w:rPr>
        <w:t>TOS Y OBJETIVOS DE LA INVERSIÓN</w:t>
      </w:r>
    </w:p>
    <w:p w:rsidR="00517824" w:rsidRPr="005B12BB" w:rsidRDefault="00AA1BD1" w:rsidP="00ED2C56">
      <w:pPr>
        <w:spacing w:before="120" w:after="120" w:line="360" w:lineRule="auto"/>
        <w:ind w:firstLine="708"/>
        <w:jc w:val="both"/>
        <w:rPr>
          <w:rFonts w:ascii="Arial" w:hAnsi="Arial" w:cs="Arial"/>
          <w:sz w:val="22"/>
          <w:szCs w:val="22"/>
        </w:rPr>
      </w:pPr>
      <w:r w:rsidRPr="005B12BB">
        <w:rPr>
          <w:rFonts w:ascii="Arial" w:hAnsi="Arial" w:cs="Arial"/>
          <w:sz w:val="22"/>
          <w:szCs w:val="22"/>
        </w:rPr>
        <w:t>Objetivo 76 (del Council Implementing Decision, CID): “Infraestructuras de tratamiento de aguas y aguas residuales mejoradas”, con el objetivo de alcanzar 175.000 habitantes en Q2 2023.</w:t>
      </w:r>
    </w:p>
    <w:sectPr w:rsidR="00517824" w:rsidRPr="005B12BB" w:rsidSect="00ED2C56">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210E1"/>
    <w:multiLevelType w:val="hybridMultilevel"/>
    <w:tmpl w:val="B25C036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1C76426"/>
    <w:multiLevelType w:val="hybridMultilevel"/>
    <w:tmpl w:val="F356C09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E41F5"/>
    <w:rsid w:val="002F0C59"/>
    <w:rsid w:val="00314413"/>
    <w:rsid w:val="003154A2"/>
    <w:rsid w:val="003208C4"/>
    <w:rsid w:val="00320C90"/>
    <w:rsid w:val="00343745"/>
    <w:rsid w:val="00382521"/>
    <w:rsid w:val="00382F6E"/>
    <w:rsid w:val="003A7E9B"/>
    <w:rsid w:val="003D56D8"/>
    <w:rsid w:val="003F24AD"/>
    <w:rsid w:val="0046397C"/>
    <w:rsid w:val="00517824"/>
    <w:rsid w:val="00564761"/>
    <w:rsid w:val="005B12BB"/>
    <w:rsid w:val="005B477A"/>
    <w:rsid w:val="005C4BF4"/>
    <w:rsid w:val="005D13DD"/>
    <w:rsid w:val="006F018F"/>
    <w:rsid w:val="00772ED6"/>
    <w:rsid w:val="007A1EBE"/>
    <w:rsid w:val="007B6373"/>
    <w:rsid w:val="007E37FC"/>
    <w:rsid w:val="007F3B1F"/>
    <w:rsid w:val="008076C5"/>
    <w:rsid w:val="00827AFD"/>
    <w:rsid w:val="008476C0"/>
    <w:rsid w:val="008620A4"/>
    <w:rsid w:val="008B3CA0"/>
    <w:rsid w:val="008B6C42"/>
    <w:rsid w:val="008D6462"/>
    <w:rsid w:val="008F0C79"/>
    <w:rsid w:val="0093453B"/>
    <w:rsid w:val="00952F88"/>
    <w:rsid w:val="00991697"/>
    <w:rsid w:val="009A64D7"/>
    <w:rsid w:val="009A7074"/>
    <w:rsid w:val="00A06941"/>
    <w:rsid w:val="00A161BA"/>
    <w:rsid w:val="00A32DF7"/>
    <w:rsid w:val="00A44DEA"/>
    <w:rsid w:val="00A9503D"/>
    <w:rsid w:val="00AA1BD1"/>
    <w:rsid w:val="00AC3D95"/>
    <w:rsid w:val="00AE318F"/>
    <w:rsid w:val="00B16ECE"/>
    <w:rsid w:val="00B30BB6"/>
    <w:rsid w:val="00B6769D"/>
    <w:rsid w:val="00B80D92"/>
    <w:rsid w:val="00BB64BC"/>
    <w:rsid w:val="00BE5B5A"/>
    <w:rsid w:val="00C87CB2"/>
    <w:rsid w:val="00CA5DBC"/>
    <w:rsid w:val="00CB75ED"/>
    <w:rsid w:val="00CD52A5"/>
    <w:rsid w:val="00D46D8D"/>
    <w:rsid w:val="00D573F5"/>
    <w:rsid w:val="00ED092E"/>
    <w:rsid w:val="00ED2C56"/>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6704E"/>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829A5-20D5-40C4-8E42-DF7DBABFF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827</Words>
  <Characters>4551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Angulo Santos, Félix</cp:lastModifiedBy>
  <cp:revision>15</cp:revision>
  <cp:lastPrinted>2021-06-09T11:44:00Z</cp:lastPrinted>
  <dcterms:created xsi:type="dcterms:W3CDTF">2021-09-22T15:11:00Z</dcterms:created>
  <dcterms:modified xsi:type="dcterms:W3CDTF">2021-10-19T21:20:00Z</dcterms:modified>
</cp:coreProperties>
</file>